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ind w:firstLine="540" w:left="0"/>
        <w:jc w:val="center"/>
        <w:rPr>
          <w:b w:val="1"/>
        </w:rPr>
      </w:pPr>
      <w:r>
        <w:rPr>
          <w:b w:val="1"/>
        </w:rPr>
        <w:t>ОБЪЯВЛЕНИЕ</w:t>
      </w:r>
    </w:p>
    <w:p w14:paraId="04000000">
      <w:pPr>
        <w:ind w:firstLine="540" w:left="0"/>
        <w:jc w:val="center"/>
        <w:rPr>
          <w:b w:val="1"/>
        </w:rPr>
      </w:pPr>
      <w:r>
        <w:rPr>
          <w:b w:val="1"/>
        </w:rPr>
        <w:t>О ПРОВЕДЕНИИ ГОЛОСОВАНИЯ ПО ОТБОРУ</w:t>
      </w:r>
      <w:r>
        <w:rPr>
          <w:b w:val="1"/>
        </w:rPr>
        <w:t xml:space="preserve"> ИНИЦИАТИВНЫХ ПРОЕКТОВ</w:t>
      </w:r>
      <w:r>
        <w:rPr>
          <w:b w:val="1"/>
        </w:rPr>
        <w:t xml:space="preserve">, </w:t>
      </w:r>
      <w:r>
        <w:rPr>
          <w:b w:val="1"/>
        </w:rPr>
        <w:t xml:space="preserve">ВЫДВИГАЕМЫХ </w:t>
      </w:r>
      <w:r>
        <w:rPr>
          <w:b w:val="1"/>
        </w:rPr>
        <w:t xml:space="preserve">ДЛЯ ПОЛУЧЕНИЯ ФИНАНСОВОЙ ПОДДЕРЖКИ ЗА СЧЕТ СРЕДСТВ СУБСИДИЙ ИЗ КРАЕВОГО БЮДЖЕТА </w:t>
      </w:r>
      <w:r>
        <w:rPr>
          <w:b w:val="1"/>
        </w:rPr>
        <w:t xml:space="preserve">В РАМКАХ </w:t>
      </w:r>
      <w:r>
        <w:rPr>
          <w:b w:val="1"/>
        </w:rPr>
        <w:t xml:space="preserve"> </w:t>
      </w:r>
      <w:r>
        <w:rPr>
          <w:b w:val="1"/>
        </w:rPr>
        <w:t>КРАЕВОГО КОНКУРСА</w:t>
      </w:r>
      <w:r>
        <w:rPr>
          <w:b w:val="1"/>
        </w:rPr>
        <w:t xml:space="preserve"> "</w:t>
      </w:r>
      <w:r>
        <w:rPr>
          <w:b w:val="1"/>
        </w:rPr>
        <w:t>РЕШАЕМ</w:t>
      </w:r>
      <w:r>
        <w:rPr>
          <w:b w:val="1"/>
        </w:rPr>
        <w:t xml:space="preserve"> </w:t>
      </w:r>
      <w:r>
        <w:rPr>
          <w:b w:val="1"/>
        </w:rPr>
        <w:t>ВМЕСТЕ</w:t>
      </w:r>
      <w:r>
        <w:rPr>
          <w:b w:val="1"/>
        </w:rPr>
        <w:t>"</w:t>
      </w:r>
    </w:p>
    <w:p w14:paraId="05000000">
      <w:pPr>
        <w:ind w:firstLine="540" w:left="0"/>
        <w:rPr>
          <w:b w:val="1"/>
        </w:rPr>
      </w:pPr>
    </w:p>
    <w:p w14:paraId="06000000">
      <w:pPr>
        <w:ind w:firstLine="540" w:left="0"/>
        <w:jc w:val="both"/>
      </w:pPr>
      <w:r>
        <w:rPr>
          <w:b w:val="1"/>
        </w:rPr>
        <w:t xml:space="preserve">По поручению Губернатора Камчатского края </w:t>
      </w:r>
      <w:r>
        <w:rPr>
          <w:b w:val="1"/>
        </w:rPr>
        <w:t>Солодова</w:t>
      </w:r>
      <w:r>
        <w:rPr>
          <w:b w:val="1"/>
        </w:rPr>
        <w:t xml:space="preserve"> Владимира Викторовича</w:t>
      </w:r>
      <w:r>
        <w:t xml:space="preserve"> Министерство по делам местного самоуправления и развитию Корякского округа Камчатского края проводит </w:t>
      </w:r>
      <w:r>
        <w:t>конкурсный</w:t>
      </w:r>
      <w:r>
        <w:t xml:space="preserve"> отбор </w:t>
      </w:r>
      <w:r>
        <w:t xml:space="preserve">инициированных жителями Камчатского </w:t>
      </w:r>
      <w:r>
        <w:t xml:space="preserve">края </w:t>
      </w:r>
      <w:r>
        <w:t>проектов</w:t>
      </w:r>
      <w:r>
        <w:t xml:space="preserve">, внесенных администрациями муниципальных образований в конкурсную комиссию </w:t>
      </w:r>
      <w:r>
        <w:t xml:space="preserve">для получения </w:t>
      </w:r>
      <w:r>
        <w:t xml:space="preserve">на их реализацию </w:t>
      </w:r>
      <w:r>
        <w:t>финансовой поддержки за счет субсидий из краевого бюджета.</w:t>
      </w:r>
    </w:p>
    <w:p w14:paraId="07000000">
      <w:pPr>
        <w:ind w:firstLine="540" w:left="0"/>
        <w:jc w:val="both"/>
      </w:pPr>
      <w:r>
        <w:rPr>
          <w:b w:val="1"/>
        </w:rPr>
        <w:t xml:space="preserve">Организатором </w:t>
      </w:r>
      <w:r>
        <w:rPr>
          <w:b w:val="1"/>
        </w:rPr>
        <w:t>краевого конкурса</w:t>
      </w:r>
      <w:r>
        <w:t xml:space="preserve"> является Министерство по делам местного самоуправления и развитию Корякского округа Камчатского края.</w:t>
      </w:r>
    </w:p>
    <w:p w14:paraId="08000000">
      <w:pPr>
        <w:ind w:firstLine="540" w:left="0"/>
        <w:jc w:val="both"/>
      </w:pPr>
      <w:r>
        <w:rPr>
          <w:b w:val="1"/>
        </w:rPr>
        <w:t>Участники конкурсного отбора</w:t>
      </w:r>
      <w:r>
        <w:t xml:space="preserve"> - </w:t>
      </w:r>
      <w:r>
        <w:t>муниципальные образования в Камчатском крае</w:t>
      </w:r>
      <w:r>
        <w:t xml:space="preserve">, которые </w:t>
      </w:r>
      <w:r>
        <w:t>представ</w:t>
      </w:r>
      <w:r>
        <w:t xml:space="preserve">или </w:t>
      </w:r>
      <w:r>
        <w:t xml:space="preserve">на краевой конкурс инициированные жителями </w:t>
      </w:r>
      <w:r>
        <w:t>проекты,</w:t>
      </w:r>
      <w:r>
        <w:t xml:space="preserve"> </w:t>
      </w:r>
      <w:r>
        <w:t>направле</w:t>
      </w:r>
      <w:r>
        <w:t>н</w:t>
      </w:r>
      <w:r>
        <w:t>н</w:t>
      </w:r>
      <w:r>
        <w:t>ы</w:t>
      </w:r>
      <w:r>
        <w:t>е</w:t>
      </w:r>
      <w:r>
        <w:t xml:space="preserve"> на улучшение качества жизни</w:t>
      </w:r>
      <w:r>
        <w:t xml:space="preserve"> населения </w:t>
      </w:r>
      <w:r>
        <w:t>и признан</w:t>
      </w:r>
      <w:r>
        <w:t>ные</w:t>
      </w:r>
      <w:r>
        <w:t xml:space="preserve"> им</w:t>
      </w:r>
      <w:r>
        <w:t>и</w:t>
      </w:r>
      <w:r>
        <w:t xml:space="preserve"> приоритетными для реализации в 202</w:t>
      </w:r>
      <w:r>
        <w:t>4</w:t>
      </w:r>
      <w:r>
        <w:t xml:space="preserve"> году.</w:t>
      </w:r>
      <w:r>
        <w:t xml:space="preserve"> </w:t>
      </w:r>
    </w:p>
    <w:p w14:paraId="09000000">
      <w:pPr>
        <w:ind w:firstLine="540" w:left="0"/>
        <w:jc w:val="both"/>
      </w:pPr>
    </w:p>
    <w:p w14:paraId="0A000000">
      <w:pPr>
        <w:ind w:firstLine="540" w:left="0"/>
        <w:jc w:val="center"/>
      </w:pPr>
      <w:r>
        <w:rPr>
          <w:b w:val="1"/>
        </w:rPr>
        <w:t>Порядок проведения голосования регулируется</w:t>
      </w:r>
    </w:p>
    <w:p w14:paraId="0B000000">
      <w:pPr>
        <w:ind w:firstLine="540" w:left="0"/>
        <w:jc w:val="both"/>
      </w:pPr>
    </w:p>
    <w:p w14:paraId="0C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Порядком </w:t>
      </w:r>
      <w:r>
        <w:rPr>
          <w:rFonts w:ascii="Times New Roman" w:hAnsi="Times New Roman"/>
          <w:sz w:val="28"/>
        </w:rPr>
        <w:t xml:space="preserve">организации и проведения голосования по поддержке инициативного проекта, выдвигаемого для получения финансовой поддержки за счет средств субсидий из краевого бюджета, в рамках краевого конкурса «РЕШАЕМ ВМЕСТЕ», утвержденным </w:t>
      </w:r>
      <w:r>
        <w:t>П</w:t>
      </w:r>
      <w:r>
        <w:t>остановление</w:t>
      </w:r>
      <w:r>
        <w:t>м</w:t>
      </w:r>
      <w:r>
        <w:t xml:space="preserve"> Правительства Камчатского края </w:t>
      </w:r>
      <w:r>
        <w:t xml:space="preserve">от </w:t>
      </w:r>
      <w:r>
        <w:t>19.01</w:t>
      </w:r>
      <w:r>
        <w:t>.202</w:t>
      </w:r>
      <w:r>
        <w:t>3 № 20-П</w:t>
      </w:r>
      <w:r>
        <w:t xml:space="preserve"> </w:t>
      </w:r>
      <w:r>
        <w:t xml:space="preserve">«О </w:t>
      </w:r>
      <w:r>
        <w:t>краевом конкурсе «РЕШАЕМ ВМЕСТЕ»</w:t>
      </w:r>
      <w:r>
        <w:t xml:space="preserve"> по отбору инициативных проектов, выдвигаемых для получения финансовой поддержки за счет средств субсидий из краевого бюджета</w:t>
      </w:r>
      <w:r>
        <w:t>».</w:t>
      </w:r>
    </w:p>
    <w:p w14:paraId="0D000000">
      <w:pPr>
        <w:ind w:firstLine="540" w:left="0"/>
        <w:jc w:val="center"/>
        <w:rPr>
          <w:b w:val="1"/>
        </w:rPr>
      </w:pPr>
    </w:p>
    <w:p w14:paraId="0E000000">
      <w:pPr>
        <w:ind w:firstLine="540" w:left="0"/>
        <w:jc w:val="center"/>
        <w:rPr>
          <w:b w:val="1"/>
        </w:rPr>
      </w:pPr>
      <w:r>
        <w:rPr>
          <w:b w:val="1"/>
        </w:rPr>
        <w:t xml:space="preserve">Сроки проведения голосования </w:t>
      </w:r>
    </w:p>
    <w:p w14:paraId="0F000000">
      <w:pPr>
        <w:ind w:firstLine="540" w:left="0"/>
        <w:jc w:val="center"/>
        <w:rPr>
          <w:b w:val="1"/>
        </w:rPr>
      </w:pPr>
    </w:p>
    <w:p w14:paraId="10000000">
      <w:pPr>
        <w:ind/>
        <w:jc w:val="both"/>
        <w:rPr>
          <w:b w:val="0"/>
        </w:rPr>
      </w:pPr>
      <w:r>
        <w:rPr>
          <w:b w:val="0"/>
        </w:rPr>
        <w:t xml:space="preserve">        Голосование жителей по отбору инициативных проектов, выдвигаемых для получения финансовой поддержки за счет средств субсидий из краевого бюджета проводится с </w:t>
      </w:r>
      <w:r>
        <w:rPr>
          <w:b w:val="1"/>
        </w:rPr>
        <w:t xml:space="preserve">00 час. 00 мин. 01 сентября 2023 года по 00 час.00 мин. 01 октября 2023 года. </w:t>
      </w:r>
    </w:p>
    <w:p w14:paraId="11000000">
      <w:pPr>
        <w:ind w:firstLine="540" w:left="0"/>
        <w:jc w:val="center"/>
        <w:rPr>
          <w:b w:val="1"/>
        </w:rPr>
      </w:pPr>
      <w:r>
        <w:rPr>
          <w:b w:val="1"/>
        </w:rPr>
        <w:tab/>
      </w:r>
    </w:p>
    <w:p w14:paraId="12000000">
      <w:pPr>
        <w:ind w:firstLine="540" w:left="0"/>
        <w:jc w:val="center"/>
        <w:rPr>
          <w:b w:val="1"/>
        </w:rPr>
      </w:pPr>
      <w:r>
        <w:rPr>
          <w:b w:val="1"/>
        </w:rPr>
        <w:t>Условия и форма проведения голосования</w:t>
      </w:r>
    </w:p>
    <w:p w14:paraId="13000000">
      <w:pPr>
        <w:widowControl w:val="0"/>
        <w:spacing w:after="0" w:line="240" w:lineRule="auto"/>
        <w:ind w:firstLine="54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14:paraId="14000000">
      <w:pPr>
        <w:widowControl w:val="0"/>
        <w:spacing w:after="0" w:line="240" w:lineRule="auto"/>
        <w:ind w:firstLine="54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sz w:val="28"/>
        </w:rPr>
        <w:t xml:space="preserve">В голосовании могут принимать участие граждане Российской </w:t>
      </w:r>
      <w:r>
        <w:rPr>
          <w:rFonts w:ascii="Times New Roman" w:hAnsi="Times New Roman"/>
          <w:color w:themeColor="text1" w:val="000000"/>
          <w:sz w:val="28"/>
        </w:rPr>
        <w:t xml:space="preserve">Федерации, достигшие </w:t>
      </w:r>
      <w:r>
        <w:rPr>
          <w:rFonts w:ascii="Times New Roman" w:hAnsi="Times New Roman"/>
          <w:b w:val="1"/>
          <w:color w:themeColor="text1" w:val="000000"/>
          <w:sz w:val="28"/>
        </w:rPr>
        <w:t>16-летнего возраста</w:t>
      </w:r>
      <w:r>
        <w:rPr>
          <w:rFonts w:ascii="Times New Roman" w:hAnsi="Times New Roman"/>
          <w:color w:themeColor="text1" w:val="000000"/>
          <w:sz w:val="28"/>
        </w:rPr>
        <w:t xml:space="preserve"> и проживающие на территории муниципального образования в Камчатском крае,</w:t>
      </w:r>
      <w:r>
        <w:rPr>
          <w:rFonts w:ascii="Arial" w:hAnsi="Arial"/>
          <w:color w:themeColor="text1" w:val="000000"/>
          <w:sz w:val="20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>инициативный(</w:t>
      </w:r>
      <w:r>
        <w:rPr>
          <w:rFonts w:ascii="Times New Roman" w:hAnsi="Times New Roman"/>
          <w:color w:themeColor="text1" w:val="000000"/>
          <w:sz w:val="28"/>
        </w:rPr>
        <w:t>ые</w:t>
      </w:r>
      <w:r>
        <w:rPr>
          <w:rFonts w:ascii="Times New Roman" w:hAnsi="Times New Roman"/>
          <w:color w:themeColor="text1" w:val="000000"/>
          <w:sz w:val="28"/>
        </w:rPr>
        <w:t xml:space="preserve">) проект(ы) которого допущен(ы) к конкурсному отбору. </w:t>
      </w:r>
    </w:p>
    <w:p w14:paraId="15000000">
      <w:pPr>
        <w:widowControl w:val="0"/>
        <w:spacing w:after="0" w:line="240" w:lineRule="auto"/>
        <w:ind w:firstLine="540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Каждый житель, участвующий в голосовании, имеет один голос.</w:t>
      </w:r>
    </w:p>
    <w:p w14:paraId="16000000">
      <w:pPr>
        <w:widowControl w:val="0"/>
        <w:spacing w:after="0" w:line="240" w:lineRule="auto"/>
        <w:ind w:firstLine="53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 xml:space="preserve">Голосование проводится в форме удаленного (дистанционного) голосования с использованием информационно-аналитической системы «Камчатка в порядке» (раздел «Голосование» </w:t>
      </w:r>
      <w:r>
        <w:t>https://voting.vporyadke41.ru/#/</w:t>
      </w:r>
      <w:r>
        <w:rPr>
          <w:rFonts w:ascii="Times New Roman" w:hAnsi="Times New Roman"/>
          <w:color w:themeColor="text1" w:val="000000"/>
          <w:sz w:val="28"/>
        </w:rPr>
        <w:t xml:space="preserve">),  за исключением муниципальных образований, с территории которых отсутствует техническая возможность проведения такого голосования.  </w:t>
      </w:r>
    </w:p>
    <w:p w14:paraId="17000000">
      <w:pPr>
        <w:widowControl w:val="0"/>
        <w:spacing w:after="0" w:line="240" w:lineRule="auto"/>
        <w:ind w:firstLine="539" w:left="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Голосование на территории муниципальных образованиях, где отсутствует техническая возможность проведения интернет</w:t>
      </w:r>
      <w:r>
        <w:rPr>
          <w:rFonts w:ascii="Times New Roman" w:hAnsi="Times New Roman"/>
          <w:color w:themeColor="text1" w:val="000000"/>
          <w:sz w:val="28"/>
        </w:rPr>
        <w:t>-</w:t>
      </w:r>
      <w:r>
        <w:rPr>
          <w:rFonts w:ascii="Times New Roman" w:hAnsi="Times New Roman"/>
          <w:color w:themeColor="text1" w:val="000000"/>
          <w:sz w:val="28"/>
        </w:rPr>
        <w:t>голосования, проводится на счетных участках, определенных администрацией муниципального образования с учетом территории, на которой предлагается реализовать инициативный проект.</w:t>
      </w:r>
    </w:p>
    <w:p w14:paraId="18000000">
      <w:pPr>
        <w:ind w:firstLine="540" w:left="0"/>
        <w:jc w:val="center"/>
        <w:rPr>
          <w:b w:val="1"/>
        </w:rPr>
      </w:pPr>
    </w:p>
    <w:p w14:paraId="19000000">
      <w:pPr>
        <w:ind w:firstLine="540" w:left="0"/>
        <w:jc w:val="center"/>
        <w:rPr>
          <w:b w:val="1"/>
        </w:rPr>
      </w:pPr>
      <w:r>
        <w:rPr>
          <w:b w:val="1"/>
        </w:rPr>
        <w:t xml:space="preserve">Перечень муниципальных образований и инициативных проектов, допущенных к конкурсному отбору  </w:t>
      </w:r>
    </w:p>
    <w:p w14:paraId="1A000000">
      <w:pPr>
        <w:ind w:firstLine="540" w:left="0"/>
        <w:jc w:val="center"/>
        <w:rPr>
          <w:b w:val="1"/>
        </w:rPr>
      </w:pPr>
    </w:p>
    <w:p w14:paraId="1B000000">
      <w:pPr>
        <w:ind w:firstLine="540" w:left="0"/>
        <w:jc w:val="both"/>
        <w:rPr>
          <w:b w:val="0"/>
        </w:rPr>
      </w:pPr>
      <w:r>
        <w:rPr>
          <w:b w:val="0"/>
        </w:rPr>
        <w:t xml:space="preserve">Перечень муниципальных образований и инициативных проектов, допущенных к конкурсному отбору представлен в Приложении № 1 к данному объявлению. </w:t>
      </w:r>
    </w:p>
    <w:p w14:paraId="1C000000">
      <w:pPr>
        <w:ind w:firstLine="540" w:left="0"/>
        <w:jc w:val="center"/>
        <w:rPr>
          <w:b w:val="1"/>
        </w:rPr>
      </w:pPr>
    </w:p>
    <w:p w14:paraId="1D000000">
      <w:pPr>
        <w:ind w:firstLine="540" w:left="0"/>
        <w:jc w:val="center"/>
        <w:rPr>
          <w:b w:val="1"/>
        </w:rPr>
      </w:pPr>
      <w:r>
        <w:rPr>
          <w:b w:val="1"/>
        </w:rPr>
        <w:t xml:space="preserve">Контактная информация </w:t>
      </w:r>
      <w:r>
        <w:rPr>
          <w:b w:val="1"/>
        </w:rPr>
        <w:t xml:space="preserve">для консультаций </w:t>
      </w:r>
    </w:p>
    <w:p w14:paraId="1E000000">
      <w:pPr>
        <w:ind w:firstLine="540" w:left="0"/>
        <w:jc w:val="both"/>
      </w:pPr>
    </w:p>
    <w:p w14:paraId="1F000000">
      <w:pPr>
        <w:ind w:firstLine="540" w:left="0"/>
        <w:jc w:val="both"/>
      </w:pPr>
      <w:r>
        <w:t xml:space="preserve">Место нахождения организатора голосования по конкурсному отбору - Министерства по делам местного самоуправления и развитию Корякского округу Камчатского края: 683003, город Петропавловск-Камчатский, ул. Ленинградская, дом 118, кабинеты </w:t>
      </w:r>
      <w:r>
        <w:t xml:space="preserve">363, </w:t>
      </w:r>
      <w:r>
        <w:t>364</w:t>
      </w:r>
      <w:r>
        <w:t>;</w:t>
      </w:r>
    </w:p>
    <w:p w14:paraId="20000000">
      <w:pPr>
        <w:ind w:firstLine="540" w:left="0"/>
        <w:jc w:val="both"/>
      </w:pPr>
      <w:r>
        <w:t>- адрес</w:t>
      </w:r>
      <w:r>
        <w:t>а</w:t>
      </w:r>
      <w:r>
        <w:t xml:space="preserve"> электронной почты:</w:t>
      </w:r>
      <w:r>
        <w:t xml:space="preserve"> </w:t>
      </w:r>
      <w:r>
        <w:rPr>
          <w:rStyle w:val="Style_2_ch"/>
        </w:rPr>
        <w:fldChar w:fldCharType="begin"/>
      </w:r>
      <w:r>
        <w:rPr>
          <w:rStyle w:val="Style_2_ch"/>
        </w:rPr>
        <w:instrText>HYPERLINK "mailto:atr@kamgov.ru"</w:instrText>
      </w:r>
      <w:r>
        <w:rPr>
          <w:rStyle w:val="Style_2_ch"/>
        </w:rPr>
        <w:fldChar w:fldCharType="separate"/>
      </w:r>
      <w:r>
        <w:rPr>
          <w:rStyle w:val="Style_2_ch"/>
        </w:rPr>
        <w:t>atr@kamgov.ru</w:t>
      </w:r>
      <w:r>
        <w:rPr>
          <w:rStyle w:val="Style_2_ch"/>
        </w:rPr>
        <w:fldChar w:fldCharType="end"/>
      </w:r>
      <w:r>
        <w:t>;</w:t>
      </w:r>
      <w:r>
        <w:t xml:space="preserve"> </w:t>
      </w:r>
      <w:r>
        <w:rPr>
          <w:rStyle w:val="Style_2_ch"/>
        </w:rPr>
        <w:fldChar w:fldCharType="begin"/>
      </w:r>
      <w:r>
        <w:rPr>
          <w:rStyle w:val="Style_2_ch"/>
        </w:rPr>
        <w:instrText>HYPERLINK "mailto:BorisenkoAA@kamgov.ru"</w:instrText>
      </w:r>
      <w:r>
        <w:rPr>
          <w:rStyle w:val="Style_2_ch"/>
        </w:rPr>
        <w:fldChar w:fldCharType="separate"/>
      </w:r>
      <w:r>
        <w:rPr>
          <w:rStyle w:val="Style_2_ch"/>
        </w:rPr>
        <w:t>BorisenkoAA</w:t>
      </w:r>
      <w:r>
        <w:rPr>
          <w:rStyle w:val="Style_2_ch"/>
        </w:rPr>
        <w:t>@</w:t>
      </w:r>
      <w:r>
        <w:rPr>
          <w:rStyle w:val="Style_2_ch"/>
        </w:rPr>
        <w:t>kamgov</w:t>
      </w:r>
      <w:r>
        <w:rPr>
          <w:rStyle w:val="Style_2_ch"/>
        </w:rPr>
        <w:t>.</w:t>
      </w:r>
      <w:r>
        <w:rPr>
          <w:rStyle w:val="Style_2_ch"/>
        </w:rPr>
        <w:t>ru</w:t>
      </w:r>
      <w:r>
        <w:rPr>
          <w:rStyle w:val="Style_2_ch"/>
        </w:rPr>
        <w:fldChar w:fldCharType="end"/>
      </w:r>
      <w:r>
        <w:t xml:space="preserve">, </w:t>
      </w:r>
      <w:r>
        <w:rPr>
          <w:rStyle w:val="Style_2_ch"/>
        </w:rPr>
        <w:fldChar w:fldCharType="begin"/>
      </w:r>
      <w:r>
        <w:rPr>
          <w:rStyle w:val="Style_2_ch"/>
        </w:rPr>
        <w:instrText>HYPERLINK "mailto:TopchijTE@kamgov.ru"</w:instrText>
      </w:r>
      <w:r>
        <w:rPr>
          <w:rStyle w:val="Style_2_ch"/>
        </w:rPr>
        <w:fldChar w:fldCharType="separate"/>
      </w:r>
      <w:r>
        <w:rPr>
          <w:rStyle w:val="Style_2_ch"/>
        </w:rPr>
        <w:t>TopchijTE@kamgov.ru</w:t>
      </w:r>
      <w:r>
        <w:rPr>
          <w:rStyle w:val="Style_2_ch"/>
        </w:rPr>
        <w:fldChar w:fldCharType="end"/>
      </w:r>
      <w:r>
        <w:t xml:space="preserve">, </w:t>
      </w:r>
    </w:p>
    <w:p w14:paraId="21000000">
      <w:pPr>
        <w:ind w:firstLine="540" w:left="0"/>
        <w:jc w:val="both"/>
      </w:pPr>
      <w:r>
        <w:t xml:space="preserve">- телефоны: </w:t>
      </w:r>
      <w:r>
        <w:t>26-52-02;</w:t>
      </w:r>
      <w:r>
        <w:t xml:space="preserve"> 26-46-44, 20-43-09.</w:t>
      </w:r>
    </w:p>
    <w:p w14:paraId="22000000">
      <w:pPr>
        <w:ind w:firstLine="540" w:left="0"/>
        <w:jc w:val="both"/>
      </w:pPr>
    </w:p>
    <w:p w14:paraId="23000000">
      <w:pPr>
        <w:ind w:firstLine="540" w:left="0"/>
        <w:jc w:val="both"/>
      </w:pPr>
      <w:r>
        <w:t xml:space="preserve">Приложение № 1: </w:t>
      </w:r>
      <w:r>
        <w:rPr>
          <w:b w:val="0"/>
        </w:rPr>
        <w:t xml:space="preserve">Перечень муниципальных образований и инициативных проектов, допущенных к конкурсному отбору на 5 л. в 1 экз. </w:t>
      </w:r>
    </w:p>
    <w:sectPr>
      <w:headerReference r:id="rId1" w:type="default"/>
      <w:pgSz w:h="16838" w:orient="portrait" w:w="11906"/>
      <w:pgMar w:bottom="993" w:footer="709" w:gutter="0" w:header="709" w:left="1560" w:right="707" w:top="426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</w:pP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sz w:val="28"/>
    </w:rPr>
  </w:style>
  <w:style w:default="1" w:styleId="Style_3_ch" w:type="character">
    <w:name w:val="Normal"/>
    <w:link w:val="Style_3"/>
    <w:rPr>
      <w:sz w:val="28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ConsPlusNormal"/>
    <w:link w:val="Style_5_ch"/>
    <w:pPr>
      <w:widowControl w:val="0"/>
      <w:ind w:firstLine="720" w:left="0"/>
    </w:pPr>
    <w:rPr>
      <w:rFonts w:ascii="Arial" w:hAnsi="Arial"/>
    </w:rPr>
  </w:style>
  <w:style w:styleId="Style_5_ch" w:type="character">
    <w:name w:val="ConsPlusNormal"/>
    <w:link w:val="Style_5"/>
    <w:rPr>
      <w:rFonts w:ascii="Arial" w:hAnsi="Arial"/>
    </w:rPr>
  </w:style>
  <w:style w:styleId="Style_6" w:type="paragraph">
    <w:name w:val="toc 4"/>
    <w:next w:val="Style_3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3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3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basedOn w:val="Style_3"/>
    <w:link w:val="Style_9_ch"/>
    <w:rPr>
      <w:sz w:val="20"/>
    </w:rPr>
  </w:style>
  <w:style w:styleId="Style_9_ch" w:type="character">
    <w:name w:val="Endnote"/>
    <w:basedOn w:val="Style_3_ch"/>
    <w:link w:val="Style_9"/>
    <w:rPr>
      <w:sz w:val="20"/>
    </w:rPr>
  </w:style>
  <w:style w:styleId="Style_10" w:type="paragraph">
    <w:name w:val="heading 3"/>
    <w:next w:val="Style_3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No Spacing"/>
    <w:link w:val="Style_11_ch"/>
    <w:rPr>
      <w:rFonts w:ascii="Calibri" w:hAnsi="Calibri"/>
      <w:sz w:val="22"/>
    </w:rPr>
  </w:style>
  <w:style w:styleId="Style_11_ch" w:type="character">
    <w:name w:val="No Spacing"/>
    <w:link w:val="Style_11"/>
    <w:rPr>
      <w:rFonts w:ascii="Calibri" w:hAnsi="Calibri"/>
      <w:sz w:val="22"/>
    </w:rPr>
  </w:style>
  <w:style w:styleId="Style_12" w:type="paragraph">
    <w:name w:val="ConsPlusTitle"/>
    <w:link w:val="Style_12_ch"/>
    <w:pPr>
      <w:widowControl w:val="0"/>
      <w:ind/>
    </w:pPr>
    <w:rPr>
      <w:rFonts w:ascii="Arial" w:hAnsi="Arial"/>
      <w:b w:val="1"/>
    </w:rPr>
  </w:style>
  <w:style w:styleId="Style_12_ch" w:type="character">
    <w:name w:val="ConsPlusTitle"/>
    <w:link w:val="Style_12"/>
    <w:rPr>
      <w:rFonts w:ascii="Arial" w:hAnsi="Arial"/>
      <w:b w:val="1"/>
    </w:rPr>
  </w:style>
  <w:style w:styleId="Style_13" w:type="paragraph">
    <w:name w:val="toc 3"/>
    <w:next w:val="Style_3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List Paragraph"/>
    <w:basedOn w:val="Style_3"/>
    <w:link w:val="Style_14_ch"/>
    <w:pPr>
      <w:ind w:firstLine="0" w:left="720"/>
      <w:contextualSpacing w:val="1"/>
    </w:pPr>
  </w:style>
  <w:style w:styleId="Style_14_ch" w:type="character">
    <w:name w:val="List Paragraph"/>
    <w:basedOn w:val="Style_3_ch"/>
    <w:link w:val="Style_14"/>
  </w:style>
  <w:style w:styleId="Style_15" w:type="paragraph">
    <w:name w:val="heading 5"/>
    <w:next w:val="Style_3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heading 1"/>
    <w:next w:val="Style_3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2" w:type="paragraph">
    <w:name w:val="Hyperlink"/>
    <w:link w:val="Style_2_ch"/>
    <w:rPr>
      <w:color w:val="0000FF"/>
      <w:u w:val="single"/>
    </w:rPr>
  </w:style>
  <w:style w:styleId="Style_2_ch" w:type="character">
    <w:name w:val="Hyperlink"/>
    <w:link w:val="Style_2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3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0"/>
    </w:rPr>
  </w:style>
  <w:style w:styleId="Style_19_ch" w:type="character">
    <w:name w:val="Header and Footer"/>
    <w:link w:val="Style_19"/>
    <w:rPr>
      <w:rFonts w:ascii="XO Thames" w:hAnsi="XO Thames"/>
      <w:sz w:val="20"/>
    </w:rPr>
  </w:style>
  <w:style w:styleId="Style_20" w:type="paragraph">
    <w:name w:val="ConsPlusNonformat"/>
    <w:link w:val="Style_20_ch"/>
    <w:rPr>
      <w:rFonts w:ascii="Courier New" w:hAnsi="Courier New"/>
    </w:rPr>
  </w:style>
  <w:style w:styleId="Style_20_ch" w:type="character">
    <w:name w:val="ConsPlusNonformat"/>
    <w:link w:val="Style_20"/>
    <w:rPr>
      <w:rFonts w:ascii="Courier New" w:hAnsi="Courier New"/>
    </w:rPr>
  </w:style>
  <w:style w:styleId="Style_1" w:type="paragraph">
    <w:name w:val="header"/>
    <w:basedOn w:val="Style_3"/>
    <w:link w:val="Style_1_ch"/>
    <w:pPr>
      <w:tabs>
        <w:tab w:leader="none" w:pos="4536" w:val="center"/>
        <w:tab w:leader="none" w:pos="9072" w:val="right"/>
      </w:tabs>
      <w:ind/>
    </w:pPr>
  </w:style>
  <w:style w:styleId="Style_1_ch" w:type="character">
    <w:name w:val="header"/>
    <w:basedOn w:val="Style_3_ch"/>
    <w:link w:val="Style_1"/>
  </w:style>
  <w:style w:styleId="Style_21" w:type="paragraph">
    <w:name w:val="toc 9"/>
    <w:next w:val="Style_3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Гипертекстовая ссылка"/>
    <w:link w:val="Style_23_ch"/>
    <w:rPr>
      <w:b w:val="1"/>
      <w:color w:val="008000"/>
      <w:sz w:val="20"/>
      <w:u w:val="single"/>
    </w:rPr>
  </w:style>
  <w:style w:styleId="Style_23_ch" w:type="character">
    <w:name w:val="Гипертекстовая ссылка"/>
    <w:link w:val="Style_23"/>
    <w:rPr>
      <w:b w:val="1"/>
      <w:color w:val="008000"/>
      <w:sz w:val="20"/>
      <w:u w:val="single"/>
    </w:rPr>
  </w:style>
  <w:style w:styleId="Style_24" w:type="paragraph">
    <w:name w:val="toc 8"/>
    <w:next w:val="Style_3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toc 5"/>
    <w:next w:val="Style_3"/>
    <w:link w:val="Style_25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endnote reference"/>
    <w:link w:val="Style_26_ch"/>
    <w:rPr>
      <w:vertAlign w:val="superscript"/>
    </w:rPr>
  </w:style>
  <w:style w:styleId="Style_26_ch" w:type="character">
    <w:name w:val="endnote reference"/>
    <w:link w:val="Style_26"/>
    <w:rPr>
      <w:vertAlign w:val="superscript"/>
    </w:rPr>
  </w:style>
  <w:style w:styleId="Style_27" w:type="paragraph">
    <w:name w:val="Balloon Text"/>
    <w:basedOn w:val="Style_3"/>
    <w:link w:val="Style_27_ch"/>
    <w:rPr>
      <w:rFonts w:ascii="Tahoma" w:hAnsi="Tahoma"/>
      <w:sz w:val="16"/>
    </w:rPr>
  </w:style>
  <w:style w:styleId="Style_27_ch" w:type="character">
    <w:name w:val="Balloon Text"/>
    <w:basedOn w:val="Style_3_ch"/>
    <w:link w:val="Style_27"/>
    <w:rPr>
      <w:rFonts w:ascii="Tahoma" w:hAnsi="Tahoma"/>
      <w:sz w:val="16"/>
    </w:rPr>
  </w:style>
  <w:style w:styleId="Style_28" w:type="paragraph">
    <w:name w:val="Subtitle"/>
    <w:next w:val="Style_3"/>
    <w:link w:val="Style_2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8_ch" w:type="character">
    <w:name w:val="Subtitle"/>
    <w:link w:val="Style_28"/>
    <w:rPr>
      <w:rFonts w:ascii="XO Thames" w:hAnsi="XO Thames"/>
      <w:i w:val="1"/>
      <w:sz w:val="24"/>
    </w:rPr>
  </w:style>
  <w:style w:styleId="Style_29" w:type="paragraph">
    <w:name w:val="Title"/>
    <w:next w:val="Style_3"/>
    <w:link w:val="Style_2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9_ch" w:type="character">
    <w:name w:val="Title"/>
    <w:link w:val="Style_29"/>
    <w:rPr>
      <w:rFonts w:ascii="XO Thames" w:hAnsi="XO Thames"/>
      <w:b w:val="1"/>
      <w:caps w:val="1"/>
      <w:sz w:val="40"/>
    </w:rPr>
  </w:style>
  <w:style w:styleId="Style_30" w:type="paragraph">
    <w:name w:val="heading 4"/>
    <w:next w:val="Style_3"/>
    <w:link w:val="Style_3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0_ch" w:type="character">
    <w:name w:val="heading 4"/>
    <w:link w:val="Style_30"/>
    <w:rPr>
      <w:rFonts w:ascii="XO Thames" w:hAnsi="XO Thames"/>
      <w:b w:val="1"/>
      <w:sz w:val="24"/>
    </w:rPr>
  </w:style>
  <w:style w:styleId="Style_31" w:type="paragraph">
    <w:name w:val="heading 2"/>
    <w:next w:val="Style_3"/>
    <w:link w:val="Style_3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1_ch" w:type="character">
    <w:name w:val="heading 2"/>
    <w:link w:val="Style_31"/>
    <w:rPr>
      <w:rFonts w:ascii="XO Thames" w:hAnsi="XO Thames"/>
      <w:b w:val="1"/>
      <w:sz w:val="28"/>
    </w:rPr>
  </w:style>
  <w:style w:styleId="Style_32" w:type="paragraph">
    <w:name w:val="Комментарий"/>
    <w:basedOn w:val="Style_3"/>
    <w:next w:val="Style_3"/>
    <w:link w:val="Style_32_ch"/>
    <w:pPr>
      <w:ind w:firstLine="0" w:left="170"/>
      <w:jc w:val="both"/>
    </w:pPr>
    <w:rPr>
      <w:rFonts w:ascii="Arial" w:hAnsi="Arial"/>
      <w:i w:val="1"/>
      <w:color w:val="800080"/>
      <w:sz w:val="20"/>
    </w:rPr>
  </w:style>
  <w:style w:styleId="Style_32_ch" w:type="character">
    <w:name w:val="Комментарий"/>
    <w:basedOn w:val="Style_3_ch"/>
    <w:link w:val="Style_32"/>
    <w:rPr>
      <w:rFonts w:ascii="Arial" w:hAnsi="Arial"/>
      <w:i w:val="1"/>
      <w:color w:val="800080"/>
      <w:sz w:val="20"/>
    </w:rPr>
  </w:style>
  <w:style w:default="1" w:styleId="Style_3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4" w:type="table">
    <w:name w:val="Table Grid"/>
    <w:basedOn w:val="Style_3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MyOffice-CoreFramework-Windows/30-1057.739.7955.691.1@6f967f4b4ae0ae6f94b7d59183011075308df4f8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2023-08-24T20:46:28Z</dcterms:modified>
</cp:coreProperties>
</file>